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B1C9" w14:textId="77777777" w:rsidR="00D947CC" w:rsidRDefault="00000000">
      <w:pPr>
        <w:spacing w:line="259" w:lineRule="auto"/>
        <w:ind w:left="60" w:firstLine="0"/>
        <w:jc w:val="center"/>
      </w:pPr>
      <w:r>
        <w:rPr>
          <w:b/>
        </w:rPr>
        <w:t xml:space="preserve"> </w:t>
      </w:r>
    </w:p>
    <w:p w14:paraId="6B353CB7" w14:textId="77777777" w:rsidR="00D947CC" w:rsidRDefault="00000000">
      <w:pPr>
        <w:spacing w:line="259" w:lineRule="auto"/>
        <w:ind w:left="3645" w:firstLine="0"/>
        <w:jc w:val="left"/>
      </w:pPr>
      <w:r>
        <w:rPr>
          <w:noProof/>
        </w:rPr>
        <w:drawing>
          <wp:inline distT="0" distB="0" distL="0" distR="0" wp14:anchorId="671C06AC" wp14:editId="3938F1FD">
            <wp:extent cx="1002030" cy="1294765"/>
            <wp:effectExtent l="0" t="0" r="0" b="0"/>
            <wp:docPr id="136" name="Picture 136"/>
            <wp:cNvGraphicFramePr/>
            <a:graphic xmlns:a="http://schemas.openxmlformats.org/drawingml/2006/main">
              <a:graphicData uri="http://schemas.openxmlformats.org/drawingml/2006/picture">
                <pic:pic xmlns:pic="http://schemas.openxmlformats.org/drawingml/2006/picture">
                  <pic:nvPicPr>
                    <pic:cNvPr id="136" name="Picture 136"/>
                    <pic:cNvPicPr/>
                  </pic:nvPicPr>
                  <pic:blipFill>
                    <a:blip r:embed="rId6"/>
                    <a:stretch>
                      <a:fillRect/>
                    </a:stretch>
                  </pic:blipFill>
                  <pic:spPr>
                    <a:xfrm>
                      <a:off x="0" y="0"/>
                      <a:ext cx="1002030" cy="1294765"/>
                    </a:xfrm>
                    <a:prstGeom prst="rect">
                      <a:avLst/>
                    </a:prstGeom>
                  </pic:spPr>
                </pic:pic>
              </a:graphicData>
            </a:graphic>
          </wp:inline>
        </w:drawing>
      </w:r>
    </w:p>
    <w:p w14:paraId="74672A5E" w14:textId="77777777" w:rsidR="00D947CC" w:rsidRDefault="00000000">
      <w:pPr>
        <w:spacing w:line="259" w:lineRule="auto"/>
        <w:ind w:left="0" w:right="3797" w:firstLine="0"/>
        <w:jc w:val="left"/>
      </w:pPr>
      <w:r>
        <w:rPr>
          <w:b/>
        </w:rPr>
        <w:t xml:space="preserve"> </w:t>
      </w:r>
    </w:p>
    <w:p w14:paraId="5376D89F" w14:textId="77777777" w:rsidR="00B24450" w:rsidRDefault="00B24450">
      <w:pPr>
        <w:spacing w:line="259" w:lineRule="auto"/>
        <w:jc w:val="center"/>
        <w:rPr>
          <w:b/>
        </w:rPr>
      </w:pPr>
    </w:p>
    <w:p w14:paraId="34D15BF3" w14:textId="4B21318D" w:rsidR="00D947CC" w:rsidRDefault="00000000">
      <w:pPr>
        <w:spacing w:line="259" w:lineRule="auto"/>
        <w:jc w:val="center"/>
      </w:pPr>
      <w:r>
        <w:rPr>
          <w:b/>
        </w:rPr>
        <w:t xml:space="preserve">Combatting Intolerance, Negative Stereotyping, Stigmatization, Discrimination, </w:t>
      </w:r>
    </w:p>
    <w:p w14:paraId="5EC1403C" w14:textId="77777777" w:rsidR="00D947CC" w:rsidRDefault="00000000">
      <w:pPr>
        <w:spacing w:line="259" w:lineRule="auto"/>
        <w:jc w:val="center"/>
      </w:pPr>
      <w:r>
        <w:rPr>
          <w:b/>
        </w:rPr>
        <w:t xml:space="preserve">Incitement to Violence and Violence against Persons, based on Religion or Belief </w:t>
      </w:r>
    </w:p>
    <w:p w14:paraId="36CA1829" w14:textId="77777777" w:rsidR="00D947CC" w:rsidRDefault="00000000">
      <w:pPr>
        <w:spacing w:line="259" w:lineRule="auto"/>
        <w:ind w:left="0" w:firstLine="0"/>
        <w:jc w:val="left"/>
      </w:pPr>
      <w:r>
        <w:rPr>
          <w:b/>
        </w:rPr>
        <w:t xml:space="preserve"> </w:t>
      </w:r>
    </w:p>
    <w:p w14:paraId="020DB8FC" w14:textId="77777777" w:rsidR="00D947CC" w:rsidRDefault="00000000">
      <w:pPr>
        <w:ind w:left="-5"/>
      </w:pPr>
      <w:r>
        <w:t xml:space="preserve">These inputs by the Human Rights Commission of Sri Lanka (HRCSL) are presented in response to the call by the Office of the High Commissioner for Human Rights to provide inputs for the United Nations (UN) Secretary-General’s report on steps taken by states to combat intolerance, negative stereotyping, stigmatization, discrimination, incitement to violence and violence against persons, based on religion or belief. </w:t>
      </w:r>
    </w:p>
    <w:p w14:paraId="637E5816" w14:textId="77777777" w:rsidR="00D947CC" w:rsidRDefault="00000000">
      <w:pPr>
        <w:spacing w:line="259" w:lineRule="auto"/>
        <w:ind w:left="0" w:firstLine="0"/>
        <w:jc w:val="left"/>
      </w:pPr>
      <w:r>
        <w:t xml:space="preserve"> </w:t>
      </w:r>
    </w:p>
    <w:p w14:paraId="01063B36" w14:textId="77777777" w:rsidR="00D947CC" w:rsidRDefault="00000000">
      <w:pPr>
        <w:ind w:left="-5"/>
      </w:pPr>
      <w:r>
        <w:t xml:space="preserve">The HRCSL is an independent institution established under the HRCSL Act, No. 21 of 1996 and is empowered to receive complaints, inquire into alleged infringements of fundamental rights, and to make appropriate recommendations to state authorities. It is also empowered to issue general advice and recommendations to the state to ensure law and policy in Sri Lanka are compatible with international human rights standards. </w:t>
      </w:r>
    </w:p>
    <w:p w14:paraId="671A2A5B" w14:textId="77777777" w:rsidR="00D947CC" w:rsidRDefault="00000000">
      <w:pPr>
        <w:spacing w:line="259" w:lineRule="auto"/>
        <w:ind w:left="0" w:firstLine="0"/>
        <w:jc w:val="left"/>
      </w:pPr>
      <w:r>
        <w:t xml:space="preserve"> </w:t>
      </w:r>
    </w:p>
    <w:p w14:paraId="00751026" w14:textId="76AC4BBA" w:rsidR="00D947CC" w:rsidRDefault="00D947CC">
      <w:pPr>
        <w:spacing w:line="259" w:lineRule="auto"/>
        <w:ind w:left="0" w:firstLine="0"/>
        <w:jc w:val="left"/>
      </w:pPr>
    </w:p>
    <w:p w14:paraId="25F91FB4" w14:textId="77777777" w:rsidR="00D947CC" w:rsidRDefault="00000000">
      <w:pPr>
        <w:pStyle w:val="Heading1"/>
        <w:ind w:left="-5"/>
      </w:pPr>
      <w:r>
        <w:t xml:space="preserve">Context </w:t>
      </w:r>
    </w:p>
    <w:p w14:paraId="61420213" w14:textId="77777777" w:rsidR="00D947CC" w:rsidRDefault="00000000">
      <w:pPr>
        <w:spacing w:line="259" w:lineRule="auto"/>
        <w:ind w:left="0" w:firstLine="0"/>
        <w:jc w:val="left"/>
      </w:pPr>
      <w:r>
        <w:t xml:space="preserve"> </w:t>
      </w:r>
    </w:p>
    <w:p w14:paraId="3C567565" w14:textId="77777777" w:rsidR="00D947CC" w:rsidRDefault="00000000">
      <w:pPr>
        <w:ind w:left="-5"/>
      </w:pPr>
      <w:r>
        <w:t xml:space="preserve">The HRCSL’s inputs are presented within an overall context in which the stated policy of the present Government of Sri Lanka is to eradicate racial and religious intolerance and build a united national identity. Given Sri Lanka’s troubling history of large-scale violence against its Tamil and Muslim citizens as well as against Sinhalese youth in the South, the election manifesto of the ruling party, the National People’s Power, states that it is ‘dedicated to creating national unity for the building of the Sri Lankan nation, not divided based on ethnicity, language, religion, caste, or gender, and by respecting the diversity of identities and ensuring their survival and protection’.  </w:t>
      </w:r>
    </w:p>
    <w:p w14:paraId="5BE287CB" w14:textId="77777777" w:rsidR="00D947CC" w:rsidRDefault="00000000">
      <w:pPr>
        <w:spacing w:line="259" w:lineRule="auto"/>
        <w:ind w:left="0" w:firstLine="0"/>
        <w:jc w:val="left"/>
      </w:pPr>
      <w:r>
        <w:t xml:space="preserve"> </w:t>
      </w:r>
    </w:p>
    <w:p w14:paraId="1C806A5D" w14:textId="77777777" w:rsidR="00D947CC" w:rsidRDefault="00000000">
      <w:pPr>
        <w:ind w:left="-5"/>
      </w:pPr>
      <w:r>
        <w:t xml:space="preserve">However, it is observed that some forms of intolerance, negative stereotyping, stigmatization, discrimination, incitement to violence and violence against persons, based on religion or belief persist in Sri Lanka, and the road to lasting change appears to be long. Discriminatory policies and practices targeting religious minorities continue, and the HRCSL has received complaints in this regard. Recent examples of such policies and practices include unreasonable restrictions on religious manifestation, such as arbitrary restrictions on the wearing of the </w:t>
      </w:r>
      <w:r>
        <w:rPr>
          <w:i/>
        </w:rPr>
        <w:t>hijab</w:t>
      </w:r>
      <w:r>
        <w:t xml:space="preserve"> in the aftermath of the Easter Sunday bombings, the mandatory cremation policy witnessed during the COVID-19 pandemic, which affected the religious observance of Muslims and Christians, and the long-term detention of Muslim suspects arrested after the Easter Sunday bombings under the Prevention of Terrorism Act (PTA), No. 48 of 1979. </w:t>
      </w:r>
    </w:p>
    <w:p w14:paraId="057D2FAE" w14:textId="77777777" w:rsidR="00D947CC" w:rsidRDefault="00000000">
      <w:pPr>
        <w:spacing w:line="259" w:lineRule="auto"/>
        <w:ind w:left="0" w:firstLine="0"/>
        <w:jc w:val="left"/>
      </w:pPr>
      <w:r>
        <w:t xml:space="preserve"> </w:t>
      </w:r>
    </w:p>
    <w:p w14:paraId="2E9ADB09" w14:textId="77777777" w:rsidR="00D947CC" w:rsidRDefault="00000000">
      <w:pPr>
        <w:ind w:left="-5"/>
      </w:pPr>
      <w:r>
        <w:lastRenderedPageBreak/>
        <w:t xml:space="preserve">Moreover, social media platforms have become dangerous vehicles through which hate speech, disinformation, and other harmful discourses are rapidly transmitted. This danger, however, should not be misconceived as a ‘root cause’ for the spread of harmful discourses. Episodes of ethno-religious violence fuelled by rapidly transmitted hate speech and disinformation have predated the advent of social media. In fact, one of the worst and most widespread episodes of violence against Muslim communities dates back to 1915, and cases of such violence occurring in Puttalam in 1976 and Galle in 1982 have been documented. Instigators of violence are likely to utilise any medium at their disposal to spread narratives and incite violence. Therefore, the HRCSL notes that, while decisive measures to curb the spread of online hate speech and disinformation should be adopted during times of crisis, the role of social media in incitement should not be overstated. Instead, measures should continuously be adopted to deal with the underlying drivers of intolerance, discrimination, negative stereotyping and incitement – be they social, economic, cultural or political – and to build community resilience to such harmful phenomena. </w:t>
      </w:r>
    </w:p>
    <w:p w14:paraId="05D1C449" w14:textId="77777777" w:rsidR="00D947CC" w:rsidRDefault="00000000">
      <w:pPr>
        <w:spacing w:line="259" w:lineRule="auto"/>
        <w:ind w:left="0" w:firstLine="0"/>
        <w:jc w:val="left"/>
      </w:pPr>
      <w:r>
        <w:t xml:space="preserve"> </w:t>
      </w:r>
    </w:p>
    <w:p w14:paraId="5B63DA18" w14:textId="77777777" w:rsidR="00D947CC" w:rsidRDefault="00000000">
      <w:pPr>
        <w:pStyle w:val="Heading1"/>
        <w:ind w:left="-5"/>
      </w:pPr>
      <w:r>
        <w:t xml:space="preserve">Legal Framework </w:t>
      </w:r>
    </w:p>
    <w:p w14:paraId="20B29FB1" w14:textId="77777777" w:rsidR="00D947CC" w:rsidRDefault="00000000">
      <w:pPr>
        <w:spacing w:line="259" w:lineRule="auto"/>
        <w:ind w:left="0" w:firstLine="0"/>
        <w:jc w:val="left"/>
      </w:pPr>
      <w:r>
        <w:t xml:space="preserve"> </w:t>
      </w:r>
    </w:p>
    <w:p w14:paraId="7FA4FC06" w14:textId="77777777" w:rsidR="00D947CC" w:rsidRDefault="00000000">
      <w:pPr>
        <w:ind w:left="-5"/>
      </w:pPr>
      <w:r>
        <w:t xml:space="preserve">Sri Lanka’s legal framework contains provisions that protect the freedom of religion or belief (FoRB) and the right to non-discrimination on the basis of religion or belief, and prohibit incitement to discrimination, hostility or violence. </w:t>
      </w:r>
    </w:p>
    <w:p w14:paraId="77657141" w14:textId="77777777" w:rsidR="00D947CC" w:rsidRDefault="00000000">
      <w:pPr>
        <w:spacing w:line="259" w:lineRule="auto"/>
        <w:ind w:left="0" w:firstLine="0"/>
        <w:jc w:val="left"/>
      </w:pPr>
      <w:r>
        <w:t xml:space="preserve"> </w:t>
      </w:r>
    </w:p>
    <w:p w14:paraId="09B6CD38" w14:textId="77777777" w:rsidR="00D947CC" w:rsidRDefault="00000000">
      <w:pPr>
        <w:ind w:left="-5"/>
      </w:pPr>
      <w:r>
        <w:t xml:space="preserve">Article 10 of the Sri Lankan Constitution provides: ‘Every person is entitled to freedom of thought, conscience and religion, including the freedom to have or to adopt a religion or belief of his choice.’ Article 14(1)(e) provides: ‘[Every citizen is entitled to] the freedom, either by himself or in association with others, and either in public or in private, to manifest his religion or belief in worship, observance, practice and teaching.’ </w:t>
      </w:r>
    </w:p>
    <w:p w14:paraId="44EB8189" w14:textId="77777777" w:rsidR="00D947CC" w:rsidRDefault="00000000">
      <w:pPr>
        <w:spacing w:line="259" w:lineRule="auto"/>
        <w:ind w:left="0" w:firstLine="0"/>
        <w:jc w:val="left"/>
      </w:pPr>
      <w:r>
        <w:t xml:space="preserve"> </w:t>
      </w:r>
    </w:p>
    <w:p w14:paraId="19D53459" w14:textId="77777777" w:rsidR="00D947CC" w:rsidRDefault="00000000">
      <w:pPr>
        <w:ind w:left="-5"/>
      </w:pPr>
      <w:r>
        <w:t xml:space="preserve">Moreover, article 12(2) of the Constitution provides: ‘No citizen shall be discriminated against on the grounds of…religion’, and article 12(3) provides: ‘No person shall, on the grounds of…religion…be subject to any disability, liability, restriction or condition with regard to access to shops, public restaurants, hotels, places of public entertainment and places of public worship of his own religion.’ </w:t>
      </w:r>
    </w:p>
    <w:p w14:paraId="2345EA10" w14:textId="77777777" w:rsidR="00D947CC" w:rsidRDefault="00000000">
      <w:pPr>
        <w:spacing w:line="259" w:lineRule="auto"/>
        <w:ind w:left="0" w:firstLine="0"/>
        <w:jc w:val="left"/>
      </w:pPr>
      <w:r>
        <w:t xml:space="preserve"> </w:t>
      </w:r>
    </w:p>
    <w:p w14:paraId="4C313656" w14:textId="77777777" w:rsidR="00D947CC" w:rsidRDefault="00000000">
      <w:pPr>
        <w:ind w:left="-5"/>
      </w:pPr>
      <w:r>
        <w:t xml:space="preserve">Section 3(1) of the International Covenant on Civil and Political Rights (ICCPR) Act, No. 56 of 2007 provides: ‘No person shall propagate war or advocate national, racial or religious hatred that constitutes incitement to discrimination, hostility or violence.’ </w:t>
      </w:r>
    </w:p>
    <w:p w14:paraId="16FE68DF" w14:textId="77777777" w:rsidR="00D947CC" w:rsidRDefault="00000000">
      <w:pPr>
        <w:spacing w:line="259" w:lineRule="auto"/>
        <w:ind w:left="0" w:firstLine="0"/>
        <w:jc w:val="left"/>
      </w:pPr>
      <w:r>
        <w:t xml:space="preserve"> </w:t>
      </w:r>
    </w:p>
    <w:p w14:paraId="3909EE81" w14:textId="77777777" w:rsidR="00D947CC" w:rsidRDefault="00000000">
      <w:pPr>
        <w:ind w:left="-5"/>
      </w:pPr>
      <w:r>
        <w:t xml:space="preserve">Therefore, it is observed that Sri Lanka’s legal framework largely reflects international human rights standards pertaining to FoRB, non-discrimination, and incitement.  </w:t>
      </w:r>
    </w:p>
    <w:p w14:paraId="4D0FAD3E" w14:textId="77777777" w:rsidR="00D947CC" w:rsidRDefault="00000000">
      <w:pPr>
        <w:spacing w:line="259" w:lineRule="auto"/>
        <w:ind w:left="0" w:firstLine="0"/>
        <w:jc w:val="left"/>
      </w:pPr>
      <w:r>
        <w:t xml:space="preserve"> </w:t>
      </w:r>
    </w:p>
    <w:p w14:paraId="6D761051" w14:textId="77777777" w:rsidR="00D947CC" w:rsidRDefault="00000000">
      <w:pPr>
        <w:ind w:left="-5"/>
      </w:pPr>
      <w:r>
        <w:t xml:space="preserve">However, certain observations may be made with respect to gaps in this framework. </w:t>
      </w:r>
    </w:p>
    <w:p w14:paraId="655CE9BC" w14:textId="77777777" w:rsidR="00D947CC" w:rsidRDefault="00000000">
      <w:pPr>
        <w:spacing w:line="259" w:lineRule="auto"/>
        <w:ind w:left="0" w:firstLine="0"/>
        <w:jc w:val="left"/>
      </w:pPr>
      <w:r>
        <w:t xml:space="preserve"> </w:t>
      </w:r>
    </w:p>
    <w:p w14:paraId="03F3D4E0" w14:textId="3FBD98B4" w:rsidR="00D947CC" w:rsidRDefault="00000000" w:rsidP="00AE740D">
      <w:pPr>
        <w:spacing w:after="190"/>
        <w:ind w:left="-5"/>
      </w:pPr>
      <w:r>
        <w:t xml:space="preserve">First, the Supreme Court of Sri Lanka in </w:t>
      </w:r>
      <w:r>
        <w:rPr>
          <w:i/>
        </w:rPr>
        <w:t xml:space="preserve">Karuwalagaswewa Vidanelage Swarna Manjula et al v. Pushpakumara, Officer-in-Charge, Police Station, Kekirawa et al </w:t>
      </w:r>
      <w:r>
        <w:t>(the Jehovah’s Witnesses Case)</w:t>
      </w:r>
      <w:r>
        <w:rPr>
          <w:vertAlign w:val="superscript"/>
        </w:rPr>
        <w:footnoteReference w:id="1"/>
      </w:r>
      <w:r>
        <w:t xml:space="preserve"> has concluded that ‘propagation’ of religion does not fall within the protected scope of article 14(1)(e) of the Constitution. Therefore, the ability of individuals to propagate their </w:t>
      </w:r>
      <w:r>
        <w:lastRenderedPageBreak/>
        <w:t>religion among others is not considered to be part of FoRB in Sri Lanka and does not appear to be a protected form of religious manifestation. It is noted, however, that according to the UN Human Rights Committee in General Comment No. 22, practice and teaching include ‘</w:t>
      </w:r>
      <w:r>
        <w:rPr>
          <w:i/>
        </w:rPr>
        <w:t>the freedom to prepare and distribute religious texts or publications</w:t>
      </w:r>
      <w:r>
        <w:t xml:space="preserve">’ (emphasis added). </w:t>
      </w:r>
    </w:p>
    <w:p w14:paraId="3C3A3FA3" w14:textId="77777777" w:rsidR="00D947CC" w:rsidRDefault="00000000">
      <w:pPr>
        <w:spacing w:line="259" w:lineRule="auto"/>
        <w:ind w:left="0" w:firstLine="0"/>
        <w:jc w:val="left"/>
      </w:pPr>
      <w:r>
        <w:t xml:space="preserve"> </w:t>
      </w:r>
    </w:p>
    <w:p w14:paraId="21A814C7" w14:textId="77777777" w:rsidR="00D947CC" w:rsidRDefault="00000000">
      <w:pPr>
        <w:ind w:left="-5"/>
      </w:pPr>
      <w:r>
        <w:t xml:space="preserve">Second, article 15(7) of Sri Lanka’s Constitution authorises the restriction of the freedom to manifest religion or belief on a number of broad grounds, i.e., the interests of national security, public order and the protection of public health or morality, ‘securing due recognition and respect for the rights and freedoms of others’, and ‘meeting the just requirements of the general welfare of a democratic society’. It is observed that these grounds go beyond the exhaustive list of limitation grounds found in article 18(3) of the ICCPR. </w:t>
      </w:r>
    </w:p>
    <w:p w14:paraId="4831D17C" w14:textId="77777777" w:rsidR="00D947CC" w:rsidRDefault="00000000">
      <w:pPr>
        <w:spacing w:line="259" w:lineRule="auto"/>
        <w:ind w:left="0" w:firstLine="0"/>
        <w:jc w:val="left"/>
      </w:pPr>
      <w:r>
        <w:t xml:space="preserve"> </w:t>
      </w:r>
    </w:p>
    <w:p w14:paraId="3A3E6EEB" w14:textId="77777777" w:rsidR="00D947CC" w:rsidRDefault="00000000">
      <w:pPr>
        <w:ind w:left="-5"/>
      </w:pPr>
      <w:r>
        <w:t xml:space="preserve">Third, the freedom to manifest religion or belief, protected by article 14(1)(e) of the Sri Lankan Constitution, and the right to non-discrimination guaranteed by article 12(2) are only guaranteed to Sri Lankan citizens. The framework, therefore, excludes non-citizens, including asylum seekers who are currently in Sri Lanka, and who have fled religious intolerance in their home countries (e.g., Rohingya asylum seekers from Myanmar). </w:t>
      </w:r>
    </w:p>
    <w:p w14:paraId="0832044B" w14:textId="77777777" w:rsidR="00D947CC" w:rsidRDefault="00000000">
      <w:pPr>
        <w:spacing w:line="259" w:lineRule="auto"/>
        <w:ind w:left="0" w:firstLine="0"/>
        <w:jc w:val="left"/>
      </w:pPr>
      <w:r>
        <w:t xml:space="preserve"> </w:t>
      </w:r>
    </w:p>
    <w:p w14:paraId="01DB5956" w14:textId="77777777" w:rsidR="00D947CC" w:rsidRDefault="00000000">
      <w:pPr>
        <w:ind w:left="-5"/>
      </w:pPr>
      <w:r>
        <w:t xml:space="preserve">Fourth, article 17 of the Constitution provides that the Supreme Court’s jurisdiction to hear fundamental rights petitions is limited to instances where the alleged infringement is committed by ‘executive or administrative’ actors. Therefore, the Court has no jurisdiction to provide redress in instances of violations of FoRB or the right to non-discrimination where the sole alleged perpetrator is a non-state actor, and no connection can be drawn to the state. For example, despite the text of article 12(3), the Court appears to have no clear jurisdiction to provide redress in cases where private actors have denied persons access to shops, public restaurants, hotels, or places of public entertainment on the basis of their religion or belief. </w:t>
      </w:r>
    </w:p>
    <w:p w14:paraId="56FEF289" w14:textId="77777777" w:rsidR="00D947CC" w:rsidRDefault="00000000">
      <w:pPr>
        <w:spacing w:line="259" w:lineRule="auto"/>
        <w:ind w:left="0" w:firstLine="0"/>
        <w:jc w:val="left"/>
      </w:pPr>
      <w:r>
        <w:t xml:space="preserve"> </w:t>
      </w:r>
    </w:p>
    <w:p w14:paraId="0DAB57C1" w14:textId="77777777" w:rsidR="00D947CC" w:rsidRDefault="00000000">
      <w:pPr>
        <w:ind w:left="-5"/>
      </w:pPr>
      <w:r>
        <w:t xml:space="preserve">Finally, the text of section 3(1) of the ICCPR Act, despite replicating article 20 of the ICCPR, has led to considerable confusion in the context of criminalising incitement. Section 3(1) of the ICCPR Act currently contains three very different types of incitement (i.e., incitement to discrimination, incitement to ‘hostility’, and incitement to violence) and lumps all these forms of incitement into a single offence, alongside the propagation of war, in a manner perhaps not foreseen or intended by the drafters of the ICCPR. This legal framing has contributed towards confusion with respect to the precise elements of the offence found in section 3(1) of the ICCPR Act. </w:t>
      </w:r>
    </w:p>
    <w:p w14:paraId="01523366" w14:textId="77777777" w:rsidR="00D947CC" w:rsidRDefault="00000000">
      <w:pPr>
        <w:spacing w:line="259" w:lineRule="auto"/>
        <w:ind w:left="0" w:firstLine="0"/>
        <w:jc w:val="left"/>
      </w:pPr>
      <w:r>
        <w:t xml:space="preserve"> </w:t>
      </w:r>
    </w:p>
    <w:p w14:paraId="498A90F1" w14:textId="77777777" w:rsidR="00D947CC" w:rsidRDefault="00000000">
      <w:pPr>
        <w:ind w:left="-5"/>
      </w:pPr>
      <w:r>
        <w:t xml:space="preserve">Apart from the above legal provisions, the Penal Code Ordinance, No. 2 of 1883 contains provisions that prohibit injuring or defiling a place of worship with intent to insult the religion of any class (section 290), acts with intent to insult the religion of any class (section 290A), disturbing a religious assembly (section 291), uttering words with deliberate intent to wound religious feelings (section 291A), and deliberate and malicious acts intended to outrage religious feelings (section 291B).  </w:t>
      </w:r>
    </w:p>
    <w:p w14:paraId="63E752EE" w14:textId="77777777" w:rsidR="00D947CC" w:rsidRDefault="00000000">
      <w:pPr>
        <w:spacing w:line="259" w:lineRule="auto"/>
        <w:ind w:left="0" w:firstLine="0"/>
        <w:jc w:val="left"/>
      </w:pPr>
      <w:r>
        <w:t xml:space="preserve"> </w:t>
      </w:r>
    </w:p>
    <w:p w14:paraId="15CFEDC5" w14:textId="70D4A536" w:rsidR="00D947CC" w:rsidRDefault="00000000" w:rsidP="00F72BFF">
      <w:pPr>
        <w:ind w:left="-5"/>
      </w:pPr>
      <w:r>
        <w:t xml:space="preserve">Additionally, the recently enacted Online Safety Act, No. 9 of 2024 contains similar provisions that prohibit disturbing a religious assembly by a false statement (section 15) and deliberate and malicious communication of false statement to outrage religious feelings (section 16). Notably, the Supreme Court found that the Online Safety Bill that was tabled in parliament was inconsistent with the Constitution and recommended several revisions to the Bill. In February </w:t>
      </w:r>
      <w:r>
        <w:lastRenderedPageBreak/>
        <w:t xml:space="preserve">2024, the HRCSL wrote to the Speaker of Parliament expressing concerns that the version of the Online Safety Act that was eventually enacted by Parliament had not fully complied with the Supreme Court’s Determination recommending revisions to the original Bill. It is noted that the present government has announced plans to amend the Online Safety Act. </w:t>
      </w:r>
    </w:p>
    <w:p w14:paraId="64E1490C" w14:textId="77777777" w:rsidR="00D947CC" w:rsidRDefault="00000000">
      <w:pPr>
        <w:spacing w:line="259" w:lineRule="auto"/>
        <w:ind w:left="0" w:firstLine="0"/>
        <w:jc w:val="left"/>
      </w:pPr>
      <w:r>
        <w:t xml:space="preserve"> </w:t>
      </w:r>
    </w:p>
    <w:p w14:paraId="31BC5130" w14:textId="77777777" w:rsidR="00D947CC" w:rsidRDefault="00000000">
      <w:pPr>
        <w:ind w:left="-5"/>
      </w:pPr>
      <w:r>
        <w:t>The HRCSL notes that some of the above-mentioned provisions of the Penal Code and Online Safety Act are akin to the notion of ‘blasphemy’, which is typically defined as an act that is sacrilegious or insulting towards a divine being or sacred object.</w:t>
      </w:r>
      <w:r>
        <w:rPr>
          <w:vertAlign w:val="superscript"/>
        </w:rPr>
        <w:footnoteReference w:id="2"/>
      </w:r>
      <w:r>
        <w:t xml:space="preserve"> It is acknowledged that United Nations Special Rapporteurs on Freedom of Religion or Belief have opined that blasphemy laws or ‘defamation of religion’ laws often criminalise conduct that is ‘offensive’ towards a particular religious belief but would not meet the international legal criteria for a permissible restriction on the freedom of expression.</w:t>
      </w:r>
      <w:r>
        <w:rPr>
          <w:vertAlign w:val="superscript"/>
        </w:rPr>
        <w:footnoteReference w:id="3"/>
      </w:r>
      <w:r>
        <w:t xml:space="preserve"> </w:t>
      </w:r>
    </w:p>
    <w:p w14:paraId="208373A2" w14:textId="77777777" w:rsidR="00D947CC" w:rsidRDefault="00000000">
      <w:pPr>
        <w:spacing w:line="259" w:lineRule="auto"/>
        <w:ind w:left="0" w:firstLine="0"/>
        <w:jc w:val="left"/>
      </w:pPr>
      <w:r>
        <w:t xml:space="preserve"> </w:t>
      </w:r>
    </w:p>
    <w:p w14:paraId="6DF7D57B" w14:textId="77777777" w:rsidR="00D947CC" w:rsidRDefault="00000000">
      <w:pPr>
        <w:pStyle w:val="Heading1"/>
        <w:ind w:left="-5"/>
      </w:pPr>
      <w:r>
        <w:t xml:space="preserve">Intolerance and Discrimination </w:t>
      </w:r>
    </w:p>
    <w:p w14:paraId="57C5C266" w14:textId="77777777" w:rsidR="00D947CC" w:rsidRDefault="00000000">
      <w:pPr>
        <w:spacing w:line="259" w:lineRule="auto"/>
        <w:ind w:left="0" w:firstLine="0"/>
        <w:jc w:val="left"/>
      </w:pPr>
      <w:r>
        <w:t xml:space="preserve"> </w:t>
      </w:r>
    </w:p>
    <w:p w14:paraId="58BFA07D" w14:textId="77777777" w:rsidR="00D947CC" w:rsidRDefault="00000000">
      <w:pPr>
        <w:ind w:left="-5"/>
      </w:pPr>
      <w:r>
        <w:t xml:space="preserve">In 2024, the HRCSL received complaints with respect to the violation of FoRB and the right to non-discrimination on the grounds of religion or belief.  </w:t>
      </w:r>
    </w:p>
    <w:p w14:paraId="4A7CC8A8" w14:textId="77777777" w:rsidR="00D947CC" w:rsidRDefault="00000000">
      <w:pPr>
        <w:spacing w:line="259" w:lineRule="auto"/>
        <w:ind w:left="0" w:firstLine="0"/>
        <w:jc w:val="left"/>
      </w:pPr>
      <w:r>
        <w:t xml:space="preserve"> </w:t>
      </w:r>
    </w:p>
    <w:p w14:paraId="302AA86D" w14:textId="77777777" w:rsidR="00D947CC" w:rsidRDefault="00000000">
      <w:pPr>
        <w:ind w:left="-5"/>
      </w:pPr>
      <w:r>
        <w:t xml:space="preserve">One such case concerned an incident in which the GCE Advance Level Results of around 70 Muslim children from Trincomalee had been withheld by the Department of Examinations on the basis that their attire (allegedly covering their head and ears) had violated examination rules. Following the HRCSL’s intervention, the examination results were eventually released to the candidates. In July 2024, following an inquiry, the HRCSL issued several interim directions to the Department of Examination with regard to the alleged infringement of FoRB. It observed that ‘specific forms of attire, including attire worn by Muslim women and girls that cover their heads, and in some cases, their ears, are protected under article 14(1)(e) [of the Constitution] as legitimate forms of religious observance and practice’. It accordingly directed the Department of Examinations to ‘conduct an internal inquiry into whether the invigilators present during the examination had objectively assessed the attire worn by the candidates and reached an objective conclusion that the attire violated examination rules’. While these interim directions were issued given the urgency of the matter, further key issues, such as the reform of examination rules to ensure reasonable accommodation of religious practices including the wearing of religious attire, and the potential presence of discriminatory intent on the part of examination invigilators will also be assessed in the final determination of the HRCSL. This final determination, including on whether a violation of FoRB and the right to nondiscrimination on the grounds of religion or belief had taken place, is due to be issued shortly. </w:t>
      </w:r>
    </w:p>
    <w:p w14:paraId="6F8C3DCE" w14:textId="77777777" w:rsidR="00D947CC" w:rsidRDefault="00000000">
      <w:pPr>
        <w:spacing w:line="259" w:lineRule="auto"/>
        <w:ind w:left="0" w:firstLine="0"/>
        <w:jc w:val="left"/>
      </w:pPr>
      <w:r>
        <w:t xml:space="preserve"> </w:t>
      </w:r>
    </w:p>
    <w:p w14:paraId="722BEA5D" w14:textId="77777777" w:rsidR="00D947CC" w:rsidRDefault="00000000">
      <w:pPr>
        <w:ind w:left="-5"/>
      </w:pPr>
      <w:r>
        <w:t xml:space="preserve">While many other complaints relating to torture, arbitrary arrest and detention, and denial of school admission may have dimensions that relate to the rights to FoRB and nondiscrimination, the Commission’s statistical database cannot accurately count these cases when the complainant does not explicitly allege a violation of FoRB or the right to nondiscrimination on the grounds of religion or belief. However, during the inquiry stage of the case, the HRCSL </w:t>
      </w:r>
      <w:r>
        <w:lastRenderedPageBreak/>
        <w:t xml:space="preserve">may observe a FoRB or non-discrimination dimension and investigate the potential violation of FoRB or the right to non-discrimination. </w:t>
      </w:r>
    </w:p>
    <w:p w14:paraId="19CAEC98" w14:textId="77777777" w:rsidR="00D947CC" w:rsidRDefault="00000000">
      <w:pPr>
        <w:spacing w:line="259" w:lineRule="auto"/>
        <w:ind w:left="0" w:firstLine="0"/>
        <w:jc w:val="left"/>
      </w:pPr>
      <w:r>
        <w:t xml:space="preserve"> </w:t>
      </w:r>
    </w:p>
    <w:p w14:paraId="348878D6" w14:textId="05465A0B" w:rsidR="00D947CC" w:rsidRDefault="00000000" w:rsidP="00AE740D">
      <w:pPr>
        <w:spacing w:after="329"/>
        <w:ind w:left="-5"/>
      </w:pPr>
      <w:r>
        <w:t xml:space="preserve">In March 2025, the HRCSL received a joint complaint from the spouses/mothers of several Muslim detainees detained under the PTA. The complaints alleged that their spouses/children were being detained in connection to the Easter Sunday bombings of April 2019 (i.e., where several coordinated suicide bombings took place across Sri Lanka, targeting Christian places of worship, and hotels) and that minimal progress had taken place with respect to processing their cases or completing their trials. The HRCSL is currently inquiring into these complaints. </w:t>
      </w:r>
    </w:p>
    <w:p w14:paraId="729066E2" w14:textId="77777777" w:rsidR="00D947CC" w:rsidRDefault="00000000">
      <w:pPr>
        <w:spacing w:line="259" w:lineRule="auto"/>
        <w:ind w:left="0" w:firstLine="0"/>
        <w:jc w:val="left"/>
      </w:pPr>
      <w:r>
        <w:t xml:space="preserve"> </w:t>
      </w:r>
    </w:p>
    <w:p w14:paraId="28C7CE56" w14:textId="77777777" w:rsidR="00D947CC" w:rsidRDefault="00000000">
      <w:pPr>
        <w:pStyle w:val="Heading1"/>
        <w:ind w:left="-5"/>
      </w:pPr>
      <w:r>
        <w:t xml:space="preserve">Negative Stereotyping </w:t>
      </w:r>
    </w:p>
    <w:p w14:paraId="144371D1" w14:textId="77777777" w:rsidR="00D947CC" w:rsidRDefault="00000000">
      <w:pPr>
        <w:spacing w:line="259" w:lineRule="auto"/>
        <w:ind w:left="0" w:firstLine="0"/>
        <w:jc w:val="left"/>
      </w:pPr>
      <w:r>
        <w:t xml:space="preserve"> </w:t>
      </w:r>
    </w:p>
    <w:p w14:paraId="7A7217B8" w14:textId="77777777" w:rsidR="00D947CC" w:rsidRDefault="00000000">
      <w:pPr>
        <w:spacing w:after="2" w:line="238" w:lineRule="auto"/>
        <w:ind w:left="0" w:firstLine="0"/>
        <w:jc w:val="left"/>
      </w:pPr>
      <w:r>
        <w:t xml:space="preserve">The HRCSL has received complaints, particularly from Muslim complainants, with respect to the alleged use of the PTA in a manner that profiles or negatively stereotypes Muslims on the basis of their identity.  </w:t>
      </w:r>
    </w:p>
    <w:p w14:paraId="0604E1E9" w14:textId="77777777" w:rsidR="00D947CC" w:rsidRDefault="00000000">
      <w:pPr>
        <w:spacing w:line="259" w:lineRule="auto"/>
        <w:ind w:left="0" w:firstLine="0"/>
        <w:jc w:val="left"/>
      </w:pPr>
      <w:r>
        <w:rPr>
          <w:color w:val="0070C0"/>
        </w:rPr>
        <w:t xml:space="preserve"> </w:t>
      </w:r>
    </w:p>
    <w:p w14:paraId="045B6910" w14:textId="77777777" w:rsidR="00D947CC" w:rsidRDefault="00000000">
      <w:pPr>
        <w:ind w:left="-5"/>
      </w:pPr>
      <w:r>
        <w:t xml:space="preserve">For example, in an ongoing inquiry, the HRCSL was informed that the PTA was deployed to arrest and detain a Muslim individual for allegedly pasting stickers at a shopping mall with the words “Fuck Israel. End Apartheid”. The individual in the case had no prior history of criminal activity. A detention order was initially issued against this individual by the President (acting in the capacity of Minister of Defence) on the recommendation of the Counter-Terrorism Investigation Division (CTID) of Sri Lanka Police. The detention order was subsequently suspended after the individual was detained for fourteen days without being produced before a court of law, and the individual was eventually discharged. However, a further restriction order was issued by the President against the individual requiring him to seek prior permission from the CTID if he wished to move residence or travel overseas, and to report to the CTID every week. It is observed that a restriction order of this nature is unprecedented. </w:t>
      </w:r>
    </w:p>
    <w:p w14:paraId="41DA2DE1" w14:textId="77777777" w:rsidR="00D947CC" w:rsidRDefault="00000000">
      <w:pPr>
        <w:spacing w:line="259" w:lineRule="auto"/>
        <w:ind w:left="0" w:firstLine="0"/>
        <w:jc w:val="left"/>
      </w:pPr>
      <w:r>
        <w:t xml:space="preserve"> </w:t>
      </w:r>
    </w:p>
    <w:p w14:paraId="1CCFA6A4" w14:textId="77777777" w:rsidR="00D947CC" w:rsidRDefault="00000000">
      <w:pPr>
        <w:ind w:left="-5"/>
      </w:pPr>
      <w:r>
        <w:t xml:space="preserve">The HRCSL’s inquiry into the matter is ongoing, and at the end of the inquiry, the HRCSL will determine whether any infringement of the individual’s freedom of expression (guaranteed under article 14(1)(a) of the Constitution) and the right to be free from arbitrary arrest and detention (guaranteed under article 13(1) of the Constitution) has taken place. The HRCSL will also make observations on the potential stereotyping of persons on the basis of their religion or belief. </w:t>
      </w:r>
    </w:p>
    <w:p w14:paraId="6538B14D" w14:textId="77777777" w:rsidR="00D947CC" w:rsidRDefault="00000000">
      <w:pPr>
        <w:spacing w:line="259" w:lineRule="auto"/>
        <w:ind w:left="0" w:firstLine="0"/>
        <w:jc w:val="left"/>
      </w:pPr>
      <w:r>
        <w:t xml:space="preserve"> </w:t>
      </w:r>
    </w:p>
    <w:p w14:paraId="4AF6BB00" w14:textId="77777777" w:rsidR="00D947CC" w:rsidRDefault="00000000">
      <w:pPr>
        <w:pStyle w:val="Heading1"/>
        <w:ind w:left="-5"/>
      </w:pPr>
      <w:r>
        <w:t xml:space="preserve">Incitement to Violence and Violence against Persons based on Religion or Belief </w:t>
      </w:r>
    </w:p>
    <w:p w14:paraId="7670DBA5" w14:textId="77777777" w:rsidR="00D947CC" w:rsidRDefault="00000000">
      <w:pPr>
        <w:spacing w:line="259" w:lineRule="auto"/>
        <w:ind w:left="0" w:firstLine="0"/>
        <w:jc w:val="left"/>
      </w:pPr>
      <w:r>
        <w:rPr>
          <w:b/>
        </w:rPr>
        <w:t xml:space="preserve"> </w:t>
      </w:r>
    </w:p>
    <w:p w14:paraId="62A73151" w14:textId="77777777" w:rsidR="00D947CC" w:rsidRDefault="00000000">
      <w:pPr>
        <w:ind w:left="-5"/>
      </w:pPr>
      <w:r>
        <w:t xml:space="preserve">The HRCSL has on repeated occasions raised concerns with respect to the misapplication of section 3(1) of the ICCPR Act. Previously, in August 2019, in view of the fact that section 3(1) of the ICCPR Act was not being applied in a ‘consistent and even-handed’ manner, the HRCSL issued general guidelines on the scope of the section in a document titled </w:t>
      </w:r>
      <w:r>
        <w:rPr>
          <w:i/>
        </w:rPr>
        <w:t>Legal Analysis of the Scope of Section 3 of the ICCPR Act, No. 56 of 2007 and Attendant Recommendations</w:t>
      </w:r>
      <w:r>
        <w:t xml:space="preserve">. These guidelines cite and rely on the six-part test contained in the Rabat Plan of Action on the Prohibition of Advocacy of National, Racial or Religious Hatred That Constitutes Incitement to Discrimination, Hostility or Violence. The guidelines provide that, for there to be ‘incitement’, there must be a ‘reasonable probability’ that the expression would cause imminent harm. </w:t>
      </w:r>
    </w:p>
    <w:p w14:paraId="1C53A291" w14:textId="77777777" w:rsidR="00D947CC" w:rsidRDefault="00000000">
      <w:pPr>
        <w:ind w:left="-5"/>
      </w:pPr>
      <w:r>
        <w:lastRenderedPageBreak/>
        <w:t xml:space="preserve">In November 2023, the Supreme Court endorsed the HRCSL’s 2019 guidelines in the case of </w:t>
      </w:r>
      <w:r>
        <w:rPr>
          <w:i/>
        </w:rPr>
        <w:t>Mohamed Razik Mohamed Ramzy v. Officer-in-Charge, Criminal Investigation Department &amp; Others</w:t>
      </w:r>
      <w:r>
        <w:t>.</w:t>
      </w:r>
      <w:r>
        <w:rPr>
          <w:vertAlign w:val="superscript"/>
        </w:rPr>
        <w:footnoteReference w:id="4"/>
      </w:r>
      <w:r>
        <w:t xml:space="preserve"> The Supreme Court held that, for any form of expression to constitute an offence under section 3(1) of the ICCPR Act, several factors must be considered by law enforcement authorities. The most crucial of these factors is whether the impugned expression amounts to ‘incitement’ to discrimination, hostility, or violence. This feature of the offence requires law enforcement authorities to consider whether there is an ‘imminent danger’ that the impugned expression would cause actual harm. The Court also specifically observed that section 3(1) of the ICCPR Act ‘should not be understood as criminalizing blasphemy’. </w:t>
      </w:r>
    </w:p>
    <w:p w14:paraId="4F905ABC" w14:textId="77777777" w:rsidR="00D947CC" w:rsidRDefault="00000000">
      <w:pPr>
        <w:spacing w:line="259" w:lineRule="auto"/>
        <w:ind w:left="0" w:firstLine="0"/>
        <w:jc w:val="left"/>
      </w:pPr>
      <w:r>
        <w:t xml:space="preserve"> </w:t>
      </w:r>
    </w:p>
    <w:p w14:paraId="6FF5B1C4" w14:textId="77777777" w:rsidR="00D947CC" w:rsidRDefault="00000000">
      <w:pPr>
        <w:ind w:left="-5"/>
      </w:pPr>
      <w:r>
        <w:t>In July 2023, the High Court in the case of Nathasha Edirisooriya</w:t>
      </w:r>
      <w:r>
        <w:rPr>
          <w:vertAlign w:val="superscript"/>
        </w:rPr>
        <w:footnoteReference w:id="5"/>
      </w:r>
      <w:r>
        <w:t xml:space="preserve"> relied on the Rabat Plan of Action to hold that the suspect in the case, i.e., a comedian arrested under section 3(1) of the ICCPR Act for a comedic statement that allegedly offended Buddhists, had not committed any offence under section 3(1) of the ICCPR Act. </w:t>
      </w:r>
    </w:p>
    <w:p w14:paraId="3FB19361" w14:textId="77777777" w:rsidR="00D947CC" w:rsidRDefault="00000000">
      <w:pPr>
        <w:spacing w:line="259" w:lineRule="auto"/>
        <w:ind w:left="0" w:firstLine="0"/>
        <w:jc w:val="left"/>
      </w:pPr>
      <w:r>
        <w:t xml:space="preserve"> </w:t>
      </w:r>
    </w:p>
    <w:p w14:paraId="1A6FCEBA" w14:textId="77777777" w:rsidR="00D947CC" w:rsidRDefault="00000000">
      <w:pPr>
        <w:ind w:left="-5"/>
      </w:pPr>
      <w:r>
        <w:t xml:space="preserve">The above-mentioned standards pertaining to section 3(1) of the ICCPR Act were applied in two emblematic cases before the HRCSL.  </w:t>
      </w:r>
    </w:p>
    <w:p w14:paraId="4E5A6AEB" w14:textId="77777777" w:rsidR="00D947CC" w:rsidRDefault="00000000">
      <w:pPr>
        <w:spacing w:line="259" w:lineRule="auto"/>
        <w:ind w:left="0" w:firstLine="0"/>
        <w:jc w:val="left"/>
      </w:pPr>
      <w:r>
        <w:t xml:space="preserve"> </w:t>
      </w:r>
    </w:p>
    <w:p w14:paraId="7DC49FCB" w14:textId="77777777" w:rsidR="00D947CC" w:rsidRDefault="00000000">
      <w:pPr>
        <w:ind w:left="-5"/>
      </w:pPr>
      <w:r>
        <w:t>In the case of Nathasha Edirisooriya,</w:t>
      </w:r>
      <w:r>
        <w:rPr>
          <w:vertAlign w:val="superscript"/>
        </w:rPr>
        <w:footnoteReference w:id="6"/>
      </w:r>
      <w:r>
        <w:t xml:space="preserve"> where the victim filed a complaint before the HRCSL alleging that she was arbitrarily arrested and detained and that her freedom of expression had been violated, the HRCSL relied on its 2019 guidelines and the six-part test contained in the Rabat Plan of Action (i.e., a) context, b) speaker, c) intention of the speaker, d) content, e) extent and magnitude of the expression, and f) imminent harm) to determine that section 3(1) of the ICCPR Act had been wrongly applied in the victim’s case. The HRCSL, in its recommendation issued in September 2024, concluded that the victim’s fundamental rights under article 13(1) (the freedom from arbitrary arrest and detention), article 12(1) (the right to equality and the right to equal protection of the law), and article 14(1)(a) (the freedom of expression) had been infringed by the respondents, including officers of the Criminal Investigation Division of Sri Lanka Police. It also ordered that compensation be paid to the victim. </w:t>
      </w:r>
    </w:p>
    <w:p w14:paraId="7B333A8F" w14:textId="77777777" w:rsidR="00D947CC" w:rsidRDefault="00000000">
      <w:pPr>
        <w:spacing w:line="259" w:lineRule="auto"/>
        <w:ind w:left="0" w:firstLine="0"/>
        <w:jc w:val="left"/>
      </w:pPr>
      <w:r>
        <w:t xml:space="preserve"> </w:t>
      </w:r>
    </w:p>
    <w:p w14:paraId="775A7E0D" w14:textId="77777777" w:rsidR="00D947CC" w:rsidRDefault="00000000">
      <w:pPr>
        <w:ind w:left="-5"/>
      </w:pPr>
      <w:r>
        <w:t xml:space="preserve">In another case in May 2024, the HRCSL launched a </w:t>
      </w:r>
      <w:r>
        <w:rPr>
          <w:i/>
        </w:rPr>
        <w:t>suo motu</w:t>
      </w:r>
      <w:r>
        <w:t xml:space="preserve"> investigation into the alleged arbitrary arrest of four Tamil Hindu persons in relation to the commemoration of Tamils who perished in Mullivaikkal in 2009 during Sri Lanka’s armed conflict. These persons were arrested for allegedly violating a temporary court order by holding a commemoration event at the Bhuvaneswari Amman Temple in Chenaiyoor, Muttur at which </w:t>
      </w:r>
      <w:r>
        <w:rPr>
          <w:i/>
        </w:rPr>
        <w:t>kanji</w:t>
      </w:r>
      <w:r>
        <w:t xml:space="preserve"> (i.e., a form of porridge) was served to the public. Law enforcement authorities attempted to charge these persons under section 3(1) of the ICCPR Act. </w:t>
      </w:r>
    </w:p>
    <w:p w14:paraId="65A2AD89" w14:textId="77777777" w:rsidR="00D947CC" w:rsidRDefault="00000000">
      <w:pPr>
        <w:spacing w:line="259" w:lineRule="auto"/>
        <w:ind w:left="0" w:firstLine="0"/>
        <w:jc w:val="left"/>
      </w:pPr>
      <w:r>
        <w:t xml:space="preserve"> </w:t>
      </w:r>
    </w:p>
    <w:p w14:paraId="2CE84181" w14:textId="77777777" w:rsidR="00D947CC" w:rsidRDefault="00000000">
      <w:pPr>
        <w:ind w:left="-5"/>
      </w:pPr>
      <w:r>
        <w:t xml:space="preserve">In its letter to the Inspector General of Police (IGP) issued in May 2024, the HRCSL reiterated its 2019 guidelines on section 3(1) of the ICCPR Act and pointed to a subsequent Circular No. RTM 541 issued by the IGP in 2022 on the recommendation of the HRCSL with respect to investigations concerning section 3(1) of the ICCPR Act. The said Circular directs all officers in charge to conduct investigations under section 3(1) of the ICCPR Act only on the advice of </w:t>
      </w:r>
      <w:r>
        <w:lastRenderedPageBreak/>
        <w:t xml:space="preserve">the Director/Legal Division of Sri Lanka Police. It also states that any police officer who misuses the provisions of the Act would be subject to disciplinary procedure.  </w:t>
      </w:r>
    </w:p>
    <w:p w14:paraId="6525B872" w14:textId="77777777" w:rsidR="00D947CC" w:rsidRDefault="00000000">
      <w:pPr>
        <w:spacing w:line="259" w:lineRule="auto"/>
        <w:ind w:left="0" w:firstLine="0"/>
        <w:jc w:val="left"/>
      </w:pPr>
      <w:r>
        <w:t xml:space="preserve"> </w:t>
      </w:r>
    </w:p>
    <w:p w14:paraId="7281134C" w14:textId="77777777" w:rsidR="00D947CC" w:rsidRDefault="00000000">
      <w:pPr>
        <w:ind w:left="-5"/>
      </w:pPr>
      <w:r>
        <w:t xml:space="preserve">The HRCSL’s letter to the IGP recommended that the HRCSL’s 2019 guidelines be recirculated, in all three languages, among all divisions of Sri Lanka Police and compulsory training and awareness programmes on the guidelines be held for all police officers. It also recommended that clear guidance, in all three languages, be issued to all divisions of Sri Lanka Police, that peaceful acts of commemoration (i.e., remembrance of deceased persons), are recognised in the law as a part of what aggrieved persons within the Tamil community are entitled to as collective reparations. Furthermore, it was emphasised that acts that do not amount to advocacy of national, racial, or religious hatred that constitutes incitement to discrimination, hostility, or violence, (i.e., where there is no ‘reasonable probability’ that the act would cause imminent harm) should be respected and protected.  </w:t>
      </w:r>
    </w:p>
    <w:p w14:paraId="5CCE5201" w14:textId="77777777" w:rsidR="00D947CC" w:rsidRDefault="00000000">
      <w:pPr>
        <w:spacing w:line="259" w:lineRule="auto"/>
        <w:ind w:left="0" w:firstLine="0"/>
        <w:jc w:val="left"/>
      </w:pPr>
      <w:r>
        <w:t xml:space="preserve"> </w:t>
      </w:r>
    </w:p>
    <w:p w14:paraId="722CD2E4" w14:textId="77777777" w:rsidR="00D947CC" w:rsidRDefault="00000000">
      <w:pPr>
        <w:ind w:left="-5"/>
      </w:pPr>
      <w:r>
        <w:t xml:space="preserve">Following the HRCSL’s intervention, the charges under section 3(1) of the ICCPR Act against the above-mentioned four persons were dropped. </w:t>
      </w:r>
    </w:p>
    <w:p w14:paraId="3CA36F90" w14:textId="77777777" w:rsidR="00D947CC" w:rsidRDefault="00000000">
      <w:pPr>
        <w:spacing w:line="259" w:lineRule="auto"/>
        <w:ind w:left="0" w:firstLine="0"/>
        <w:jc w:val="left"/>
      </w:pPr>
      <w:r>
        <w:t xml:space="preserve"> </w:t>
      </w:r>
    </w:p>
    <w:p w14:paraId="64FBAF2B" w14:textId="77777777" w:rsidR="00D947CC" w:rsidRDefault="00000000">
      <w:pPr>
        <w:ind w:left="-5"/>
      </w:pPr>
      <w:r>
        <w:t xml:space="preserve">While some level of progress has been achieved with respect to constraining the misapplication of section 3(1) of the ICCPR Act, it is noted that little to no progress has been achieved in the enforcement of this section against persons who have incited violence against religious minorities.  </w:t>
      </w:r>
    </w:p>
    <w:p w14:paraId="267BE5E1" w14:textId="77777777" w:rsidR="00D947CC" w:rsidRDefault="00000000">
      <w:pPr>
        <w:spacing w:line="259" w:lineRule="auto"/>
        <w:ind w:left="0" w:firstLine="0"/>
        <w:jc w:val="left"/>
      </w:pPr>
      <w:r>
        <w:t xml:space="preserve"> </w:t>
      </w:r>
    </w:p>
    <w:p w14:paraId="7A2EB9BC" w14:textId="77777777" w:rsidR="00D947CC" w:rsidRDefault="00000000">
      <w:pPr>
        <w:ind w:left="-5"/>
      </w:pPr>
      <w:r>
        <w:t xml:space="preserve">In a recent report dated 4 March 2025, Sri Lanka Police clarified to the HRCSL that no person suspected of inciting violence in Sri Lanka, including during the events in Digana, has been convicted under section 3(1) of the ICCPR Act to date. The said events in Digana took place in 2018 where Muslim homes, businesses and places of worship were attacked after organised groups incited violence against the Muslim community through a variety of means, including over social media platforms. In its draft report on the Inquiry into Violent Events in Digana and Environs in the District of Kandy in March 2018, which is due to be published shortly, the HRCSL observes that ‘despite the lapse of seven years, no person suspected of inciting violence in Digana and environs has been successfully convicted under the ICCPR Act.’ Similarly, persons suspected of inciting violence against Muslims in Gintota in 2017, Ampara in 2018, and Kurunegala and Gampaha in 2019 are yet to be convicted under section 3(1) of the ICCPR Act. </w:t>
      </w:r>
    </w:p>
    <w:p w14:paraId="6D9848B2" w14:textId="77777777" w:rsidR="00D947CC" w:rsidRDefault="00000000">
      <w:pPr>
        <w:spacing w:line="259" w:lineRule="auto"/>
        <w:ind w:left="0" w:firstLine="0"/>
        <w:jc w:val="left"/>
      </w:pPr>
      <w:r>
        <w:t xml:space="preserve"> </w:t>
      </w:r>
    </w:p>
    <w:p w14:paraId="0629C7FC" w14:textId="77777777" w:rsidR="00D947CC" w:rsidRDefault="00000000">
      <w:pPr>
        <w:ind w:left="-5"/>
      </w:pPr>
      <w:r>
        <w:t xml:space="preserve">It is accordingly observed that the continued lack of accountability for egregious acts of incitement targeting religious minorities in Sri Lanka contributes towards a hostile environment for religious minorities and can potentially lead to intercommunal conflict. </w:t>
      </w:r>
    </w:p>
    <w:p w14:paraId="0BE9B0A5" w14:textId="77777777" w:rsidR="00D947CC" w:rsidRDefault="00000000">
      <w:pPr>
        <w:spacing w:line="259" w:lineRule="auto"/>
        <w:ind w:left="0" w:firstLine="0"/>
        <w:jc w:val="left"/>
      </w:pPr>
      <w:r>
        <w:rPr>
          <w:i/>
        </w:rPr>
        <w:t xml:space="preserve"> </w:t>
      </w:r>
    </w:p>
    <w:p w14:paraId="1F2A4FDC" w14:textId="77777777" w:rsidR="00D947CC" w:rsidRDefault="00000000">
      <w:pPr>
        <w:spacing w:line="259" w:lineRule="auto"/>
        <w:ind w:left="0" w:firstLine="0"/>
        <w:jc w:val="left"/>
      </w:pPr>
      <w:r>
        <w:t xml:space="preserve"> </w:t>
      </w:r>
    </w:p>
    <w:p w14:paraId="35465AF4" w14:textId="77777777" w:rsidR="00D947CC" w:rsidRDefault="00000000">
      <w:pPr>
        <w:spacing w:line="259" w:lineRule="auto"/>
        <w:ind w:left="0" w:firstLine="0"/>
        <w:jc w:val="right"/>
      </w:pPr>
      <w:r>
        <w:rPr>
          <w:b/>
        </w:rPr>
        <w:t xml:space="preserve">15 April 2025 </w:t>
      </w:r>
    </w:p>
    <w:sectPr w:rsidR="00D947CC">
      <w:footerReference w:type="even" r:id="rId7"/>
      <w:footerReference w:type="default" r:id="rId8"/>
      <w:footerReference w:type="first" r:id="rId9"/>
      <w:pgSz w:w="11906" w:h="16838"/>
      <w:pgMar w:top="1459" w:right="1435" w:bottom="1427" w:left="1450" w:header="720" w:footer="69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506451" w14:textId="77777777" w:rsidR="00FD1C5D" w:rsidRDefault="00FD1C5D">
      <w:pPr>
        <w:spacing w:line="240" w:lineRule="auto"/>
      </w:pPr>
      <w:r>
        <w:separator/>
      </w:r>
    </w:p>
  </w:endnote>
  <w:endnote w:type="continuationSeparator" w:id="0">
    <w:p w14:paraId="79BF62F5" w14:textId="77777777" w:rsidR="00FD1C5D" w:rsidRDefault="00FD1C5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5B726" w14:textId="77777777" w:rsidR="00D947CC" w:rsidRDefault="00000000">
    <w:pPr>
      <w:tabs>
        <w:tab w:val="center" w:pos="4510"/>
      </w:tabs>
      <w:spacing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C16C8" w14:textId="77777777" w:rsidR="00D947CC" w:rsidRDefault="00000000">
    <w:pPr>
      <w:tabs>
        <w:tab w:val="center" w:pos="4510"/>
      </w:tabs>
      <w:spacing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t>1</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14E9" w14:textId="77777777" w:rsidR="00D947CC" w:rsidRDefault="00000000">
    <w:pPr>
      <w:tabs>
        <w:tab w:val="center" w:pos="4510"/>
      </w:tabs>
      <w:spacing w:line="259" w:lineRule="auto"/>
      <w:ind w:left="0" w:firstLine="0"/>
      <w:jc w:val="left"/>
    </w:pPr>
    <w:r>
      <w:rPr>
        <w:rFonts w:ascii="Calibri" w:eastAsia="Calibri" w:hAnsi="Calibri" w:cs="Calibri"/>
      </w:rPr>
      <w:t xml:space="preserve"> </w:t>
    </w:r>
    <w:r>
      <w:rPr>
        <w:rFonts w:ascii="Calibri" w:eastAsia="Calibri" w:hAnsi="Calibri" w:cs="Calibri"/>
      </w:rPr>
      <w:tab/>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9BE5D7" w14:textId="77777777" w:rsidR="00FD1C5D" w:rsidRDefault="00FD1C5D">
      <w:pPr>
        <w:spacing w:line="259" w:lineRule="auto"/>
        <w:ind w:left="0" w:firstLine="0"/>
        <w:jc w:val="left"/>
      </w:pPr>
      <w:r>
        <w:separator/>
      </w:r>
    </w:p>
  </w:footnote>
  <w:footnote w:type="continuationSeparator" w:id="0">
    <w:p w14:paraId="0C3AB357" w14:textId="77777777" w:rsidR="00FD1C5D" w:rsidRDefault="00FD1C5D">
      <w:pPr>
        <w:spacing w:line="259" w:lineRule="auto"/>
        <w:ind w:left="0" w:firstLine="0"/>
        <w:jc w:val="left"/>
      </w:pPr>
      <w:r>
        <w:continuationSeparator/>
      </w:r>
    </w:p>
  </w:footnote>
  <w:footnote w:id="1">
    <w:p w14:paraId="2E04FF10" w14:textId="77777777" w:rsidR="00D947CC" w:rsidRDefault="00000000">
      <w:pPr>
        <w:pStyle w:val="footnotedescription"/>
      </w:pPr>
      <w:r>
        <w:rPr>
          <w:rStyle w:val="footnotemark"/>
        </w:rPr>
        <w:footnoteRef/>
      </w:r>
      <w:r>
        <w:t xml:space="preserve"> SC (F.R) No. 241/14. </w:t>
      </w:r>
    </w:p>
  </w:footnote>
  <w:footnote w:id="2">
    <w:p w14:paraId="10B9DD8F" w14:textId="77777777" w:rsidR="00D947CC" w:rsidRDefault="00000000">
      <w:pPr>
        <w:pStyle w:val="footnotedescription"/>
      </w:pPr>
      <w:r>
        <w:rPr>
          <w:rStyle w:val="footnotemark"/>
        </w:rPr>
        <w:footnoteRef/>
      </w:r>
      <w:r>
        <w:t xml:space="preserve"> ‘Blasphemy’ in the </w:t>
      </w:r>
      <w:r>
        <w:rPr>
          <w:i/>
        </w:rPr>
        <w:t>Merriam Webster Dictionary</w:t>
      </w:r>
      <w:r>
        <w:t xml:space="preserve"> (2013). </w:t>
      </w:r>
    </w:p>
  </w:footnote>
  <w:footnote w:id="3">
    <w:p w14:paraId="45757B22" w14:textId="77777777" w:rsidR="00D947CC" w:rsidRDefault="00000000">
      <w:pPr>
        <w:pStyle w:val="footnotedescription"/>
        <w:spacing w:line="247" w:lineRule="auto"/>
      </w:pPr>
      <w:r>
        <w:rPr>
          <w:rStyle w:val="footnotemark"/>
        </w:rPr>
        <w:footnoteRef/>
      </w:r>
      <w:r>
        <w:t xml:space="preserve"> Human Rights Council, </w:t>
      </w:r>
      <w:r>
        <w:rPr>
          <w:i/>
        </w:rPr>
        <w:t>Report of the Special Rapporteur on freedom of religion or belief, Heiner Bielefeldt</w:t>
      </w:r>
      <w:r>
        <w:t xml:space="preserve">, 23 December 2015, A/HRC/28/66/Add.1, para. 61; Human Rights Council, </w:t>
      </w:r>
      <w:r>
        <w:rPr>
          <w:i/>
        </w:rPr>
        <w:t xml:space="preserve">Freedom of religion or belief: </w:t>
      </w:r>
    </w:p>
    <w:p w14:paraId="4701AC6E" w14:textId="77777777" w:rsidR="00D947CC" w:rsidRDefault="00000000">
      <w:pPr>
        <w:pStyle w:val="footnotedescription"/>
      </w:pPr>
      <w:r>
        <w:rPr>
          <w:i/>
        </w:rPr>
        <w:t>Report of the Special Rapporteur on freedom of religion or belief</w:t>
      </w:r>
      <w:r>
        <w:t xml:space="preserve">, 5 March 2019, A/HRC/40/58, paras. 25-30. </w:t>
      </w:r>
    </w:p>
  </w:footnote>
  <w:footnote w:id="4">
    <w:p w14:paraId="2640D313" w14:textId="77777777" w:rsidR="00D947CC" w:rsidRDefault="00000000">
      <w:pPr>
        <w:pStyle w:val="footnotedescription"/>
      </w:pPr>
      <w:r>
        <w:rPr>
          <w:rStyle w:val="footnotemark"/>
        </w:rPr>
        <w:footnoteRef/>
      </w:r>
      <w:r>
        <w:t xml:space="preserve"> SC (F.R) No. 135/2020. </w:t>
      </w:r>
    </w:p>
  </w:footnote>
  <w:footnote w:id="5">
    <w:p w14:paraId="1FEE54F3" w14:textId="77777777" w:rsidR="00D947CC" w:rsidRDefault="00000000">
      <w:pPr>
        <w:pStyle w:val="footnotedescription"/>
      </w:pPr>
      <w:r>
        <w:rPr>
          <w:rStyle w:val="footnotemark"/>
        </w:rPr>
        <w:footnoteRef/>
      </w:r>
      <w:r>
        <w:t xml:space="preserve"> HCEBA/1335/2023. </w:t>
      </w:r>
    </w:p>
  </w:footnote>
  <w:footnote w:id="6">
    <w:p w14:paraId="153DA7FA" w14:textId="77777777" w:rsidR="00D947CC" w:rsidRDefault="00000000">
      <w:pPr>
        <w:pStyle w:val="footnotedescription"/>
      </w:pPr>
      <w:r>
        <w:rPr>
          <w:rStyle w:val="footnotemark"/>
        </w:rPr>
        <w:footnoteRef/>
      </w:r>
      <w:r>
        <w:t xml:space="preserve"> HRC/2603/23, HRC/2153/23/, and HRC/2154/23.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47CC"/>
    <w:rsid w:val="001712BE"/>
    <w:rsid w:val="004266A8"/>
    <w:rsid w:val="00AE740D"/>
    <w:rsid w:val="00B24450"/>
    <w:rsid w:val="00C27D7D"/>
    <w:rsid w:val="00D947CC"/>
    <w:rsid w:val="00F72BFF"/>
    <w:rsid w:val="00FD1C5D"/>
  </w:rsids>
  <m:mathPr>
    <m:mathFont m:val="Cambria Math"/>
    <m:brkBin m:val="before"/>
    <m:brkBinSub m:val="--"/>
    <m:smallFrac m:val="0"/>
    <m:dispDef/>
    <m:lMargin m:val="0"/>
    <m:rMargin m:val="0"/>
    <m:defJc m:val="centerGroup"/>
    <m:wrapIndent m:val="1440"/>
    <m:intLim m:val="subSup"/>
    <m:naryLim m:val="undOvr"/>
  </m:mathPr>
  <w:themeFontLang w:val="en-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912D33"/>
  <w15:docId w15:val="{42AA5CC8-D3C8-4706-949E-4AC9EC98E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8" w:lineRule="auto"/>
      <w:ind w:left="10" w:hanging="10"/>
      <w:jc w:val="both"/>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paragraph" w:customStyle="1" w:styleId="footnotedescription">
    <w:name w:val="footnote description"/>
    <w:next w:val="Normal"/>
    <w:link w:val="footnotedescriptionChar"/>
    <w:hidden/>
    <w:pPr>
      <w:spacing w:after="0" w:line="259" w:lineRule="auto"/>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Pr>
      <w:rFonts w:ascii="Times New Roman" w:eastAsia="Times New Roman" w:hAnsi="Times New Roman" w:cs="Times New Roman"/>
      <w:color w:val="000000"/>
      <w:sz w:val="20"/>
    </w:rPr>
  </w:style>
  <w:style w:type="character" w:customStyle="1" w:styleId="footnotemark">
    <w:name w:val="footnote mark"/>
    <w:hidden/>
    <w:rPr>
      <w:rFonts w:ascii="Times New Roman" w:eastAsia="Times New Roman" w:hAnsi="Times New Roman" w:cs="Times New Roman"/>
      <w:color w:val="000000"/>
      <w:sz w:val="20"/>
      <w:vertAlign w:val="superscript"/>
    </w:rPr>
  </w:style>
  <w:style w:type="paragraph" w:styleId="Header">
    <w:name w:val="header"/>
    <w:basedOn w:val="Normal"/>
    <w:link w:val="HeaderChar"/>
    <w:uiPriority w:val="99"/>
    <w:unhideWhenUsed/>
    <w:rsid w:val="001712BE"/>
    <w:pPr>
      <w:tabs>
        <w:tab w:val="center" w:pos="4513"/>
        <w:tab w:val="right" w:pos="9026"/>
      </w:tabs>
      <w:spacing w:line="240" w:lineRule="auto"/>
    </w:pPr>
  </w:style>
  <w:style w:type="character" w:customStyle="1" w:styleId="HeaderChar">
    <w:name w:val="Header Char"/>
    <w:basedOn w:val="DefaultParagraphFont"/>
    <w:link w:val="Header"/>
    <w:uiPriority w:val="99"/>
    <w:rsid w:val="001712BE"/>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6</TotalTime>
  <Pages>7</Pages>
  <Words>3345</Words>
  <Characters>19073</Characters>
  <Application>Microsoft Office Word</Application>
  <DocSecurity>0</DocSecurity>
  <Lines>158</Lines>
  <Paragraphs>44</Paragraphs>
  <ScaleCrop>false</ScaleCrop>
  <Company/>
  <LinksUpToDate>false</LinksUpToDate>
  <CharactersWithSpaces>22374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HRCSL Report to OHCHR</dc:title>
  <dc:subject/>
  <dc:creator>Gehan Gunatilleke</dc:creator>
  <cp:keywords/>
  <cp:lastModifiedBy>Michael Wiener</cp:lastModifiedBy>
  <cp:revision>6</cp:revision>
  <dcterms:created xsi:type="dcterms:W3CDTF">2025-04-16T06:42:00Z</dcterms:created>
  <dcterms:modified xsi:type="dcterms:W3CDTF">2025-04-16T06:48:00Z</dcterms:modified>
</cp:coreProperties>
</file>